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2D" w:rsidRPr="004A004F" w:rsidRDefault="009E622D" w:rsidP="009E622D">
      <w:pPr>
        <w:spacing w:line="360" w:lineRule="auto"/>
        <w:jc w:val="center"/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 xml:space="preserve">MAPA DE GERENCIAMENTO DE RISCOS </w:t>
      </w:r>
    </w:p>
    <w:p w:rsidR="009E622D" w:rsidRPr="004A004F" w:rsidRDefault="009E622D" w:rsidP="009E622D">
      <w:pPr>
        <w:spacing w:line="360" w:lineRule="auto"/>
        <w:jc w:val="center"/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</w:pPr>
    </w:p>
    <w:p w:rsidR="009E622D" w:rsidRPr="009E622D" w:rsidRDefault="009E622D" w:rsidP="009E622D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PREGÃO ELETRONIC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O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Nº 0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_____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/202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6</w:t>
      </w:r>
    </w:p>
    <w:p w:rsidR="009E622D" w:rsidRPr="009E622D" w:rsidRDefault="009E622D" w:rsidP="009E622D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PROCESSO DE LICITAÇÃO Nº 0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_____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/202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6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  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:rsidR="009E622D" w:rsidRPr="009E622D" w:rsidRDefault="009E622D" w:rsidP="009E622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4A004F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OBJETO: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9E622D">
        <w:rPr>
          <w:rFonts w:ascii="Arial" w:eastAsia="Arial" w:hAnsi="Arial" w:cs="Arial"/>
          <w:bCs/>
          <w:sz w:val="21"/>
          <w:szCs w:val="21"/>
          <w:lang w:val="pt-BR"/>
        </w:rPr>
        <w:t xml:space="preserve">O </w:t>
      </w:r>
      <w:r w:rsidRPr="009E622D">
        <w:rPr>
          <w:rFonts w:ascii="Arial" w:hAnsi="Arial" w:cs="Arial"/>
          <w:w w:val="105"/>
          <w:sz w:val="21"/>
          <w:szCs w:val="21"/>
        </w:rPr>
        <w:t xml:space="preserve">REGISTRO DE PREÇOS A FUTURA E EVENTUAL CONTRATAÇÃO DE EMPRESA OU CONSÓRCIO DE EMPRESAS PARA O FORNECIMENTO PARCELADO DE PLACAS INDICATIVAS E DE SINALIZAÇÃO PARA ATENDIMENTO DAS NECESSIDADES DOS MUNICÍPIOS QUE COMPOEM O </w:t>
      </w:r>
      <w:r w:rsidRPr="009E622D">
        <w:rPr>
          <w:rFonts w:ascii="Arial" w:hAnsi="Arial" w:cs="Arial"/>
          <w:caps/>
          <w:sz w:val="21"/>
          <w:szCs w:val="21"/>
        </w:rPr>
        <w:t>Consórcio Intermunicipal Multifinalitário dos Municípios da Microrregião do Médio Rio Pomba – (CIMERP</w:t>
      </w:r>
      <w:r w:rsidRPr="009E622D">
        <w:rPr>
          <w:rFonts w:ascii="Arial" w:hAnsi="Arial" w:cs="Arial"/>
          <w:sz w:val="21"/>
          <w:szCs w:val="21"/>
        </w:rPr>
        <w:t>)</w:t>
      </w:r>
      <w:r w:rsidRPr="009E622D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. 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</w:p>
    <w:p w:rsidR="009E622D" w:rsidRPr="00504C3D" w:rsidRDefault="009E622D" w:rsidP="009E622D">
      <w:pP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i/>
          <w:color w:val="242424"/>
          <w:sz w:val="20"/>
          <w:szCs w:val="20"/>
          <w:shd w:val="clear" w:color="auto" w:fill="FFFFFF"/>
        </w:rPr>
        <w:t>VALOR TOTAL DA CONTRATAÇÃO: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  </w:t>
      </w:r>
      <w:r w:rsidRPr="00504C3D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R$ </w:t>
      </w:r>
      <w:r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------</w:t>
      </w:r>
      <w:r w:rsidRPr="00504C3D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. 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i/>
          <w:color w:val="242424"/>
          <w:sz w:val="20"/>
          <w:szCs w:val="20"/>
          <w:shd w:val="clear" w:color="auto" w:fill="FFFFFF"/>
        </w:rPr>
        <w:t>CRITÉRIO DE JULGAMENTO: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enor Preço por LOTE. 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 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</w:p>
    <w:p w:rsidR="009E622D" w:rsidRDefault="009E622D" w:rsidP="009E622D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i/>
          <w:color w:val="242424"/>
          <w:sz w:val="20"/>
          <w:szCs w:val="20"/>
          <w:shd w:val="clear" w:color="auto" w:fill="FFFFFF"/>
        </w:rPr>
        <w:t>MODO DE DISPUTA: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Aberto.  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LEI DE REGÊNCIA: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Lei n° 14.133/2021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</w:rPr>
        <w:br/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A matriz de riscos tem por objetivo delimitar as responsabilidades do Contratante e do Contratado na execução do Contrato.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:rsidR="009E622D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Sempre que atendidas as condições do Contrato e mantidas as disposições desta matriz de riscos, considera-se mantido seu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equilíbrio econômico-financeiro.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A Contratada apenas fará jus à recomposição do equilíbrio econômico-financeiro na hipótese de materialização de risco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que não lhe tenha sido atribuído.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</w:rPr>
        <w:br/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Verificando a ocorrência de evento que, atribuído ao Contratante, impacte no equilíbrio econômico- financeiro do Contrato, a Contratada deverá apresentar requerimento por escrito, instruído com a documentação que entender necessária, trazendo memória de cálculo do impacto financeiro do evento em sua proposta.</w:t>
      </w:r>
    </w:p>
    <w:p w:rsidR="009E622D" w:rsidRPr="004A004F" w:rsidRDefault="009E622D" w:rsidP="009E622D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</w:rPr>
        <w:br/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Os casos omissos serão objeto de análise acurada e criteriosa, e decididos com base em elementos técnicos, por intermédiodeprocesso administrativoparaapurar o caso concreto.</w:t>
      </w:r>
    </w:p>
    <w:p w:rsidR="009E622D" w:rsidRPr="004A004F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"/>
        <w:gridCol w:w="1967"/>
        <w:gridCol w:w="2310"/>
        <w:gridCol w:w="1961"/>
        <w:gridCol w:w="2506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FORNECIMENTO DAS PEÇAS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Caso fortuito ou Força Maior - Fatos supervenientes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impedindo a entrega dos produtos 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Situação proveniente de ato da natureza, entre outras partes, </w:t>
            </w: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>imprevisíveis e inevitáveis, que convulsionem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COMPARTILHADO </w:t>
            </w:r>
          </w:p>
        </w:tc>
        <w:tc>
          <w:tcPr>
            <w:tcW w:w="2506" w:type="dxa"/>
          </w:tcPr>
          <w:p w:rsidR="009E622D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Solicitação de fornecimento do antecedencia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Possiblidade de aquisição dos produtos com outro fornecedor 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Roubos ou furtos </w:t>
            </w:r>
            <w:r>
              <w:rPr>
                <w:rFonts w:ascii="Arial" w:hAnsi="Arial" w:cs="Arial"/>
                <w:sz w:val="20"/>
                <w:szCs w:val="20"/>
              </w:rPr>
              <w:t>quando da entrega dos produtos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A004F">
              <w:rPr>
                <w:rFonts w:ascii="Arial" w:hAnsi="Arial" w:cs="Arial"/>
                <w:sz w:val="20"/>
                <w:szCs w:val="20"/>
              </w:rPr>
              <w:t>estes casos os custos deverão ser arcados pela empresa. A empresa deve contratar seguros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Segurança dos </w:t>
            </w:r>
            <w:r>
              <w:rPr>
                <w:rFonts w:ascii="Arial" w:hAnsi="Arial" w:cs="Arial"/>
                <w:sz w:val="20"/>
                <w:szCs w:val="20"/>
              </w:rPr>
              <w:t xml:space="preserve">motoristas e </w:t>
            </w:r>
            <w:r w:rsidRPr="004A004F">
              <w:rPr>
                <w:rFonts w:ascii="Arial" w:hAnsi="Arial" w:cs="Arial"/>
                <w:sz w:val="20"/>
                <w:szCs w:val="20"/>
              </w:rPr>
              <w:t>operários e (acidentes)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A004F">
              <w:rPr>
                <w:rFonts w:ascii="Arial" w:hAnsi="Arial" w:cs="Arial"/>
                <w:sz w:val="20"/>
                <w:szCs w:val="20"/>
              </w:rPr>
              <w:t>estes casos os custos deverão ser arcados pela empresa, capacitação do pessoal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A004F">
              <w:rPr>
                <w:rFonts w:ascii="Arial" w:hAnsi="Arial" w:cs="Arial"/>
                <w:sz w:val="20"/>
                <w:szCs w:val="20"/>
              </w:rPr>
              <w:t>A empresa deve contratar seguros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Reclamações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Dificuldade de acessos informaçoes e Reclamaçoes diversas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A Contratada deverá possuir um canal para atender e evitar tais problemas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05 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Atraso no cronograma de entrega em razão da Contratada</w:t>
            </w:r>
          </w:p>
        </w:tc>
        <w:tc>
          <w:tcPr>
            <w:tcW w:w="2310" w:type="dxa"/>
          </w:tcPr>
          <w:p w:rsidR="009E622D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Entregas fora do prazo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Contratual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A Contratada deverá propor novo cronograma</w:t>
            </w:r>
            <w:r>
              <w:rPr>
                <w:rFonts w:ascii="Arial" w:hAnsi="Arial" w:cs="Arial"/>
                <w:sz w:val="20"/>
                <w:szCs w:val="20"/>
              </w:rPr>
              <w:t xml:space="preserve"> e soluçoes 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9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1"/>
            </w:tblGrid>
            <w:tr w:rsidR="009E622D" w:rsidRPr="00B40D52" w:rsidTr="00997D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2D" w:rsidRPr="00B40D52" w:rsidRDefault="009E622D" w:rsidP="00997D78">
                  <w:pPr>
                    <w:widowControl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B40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Greve dos empregados da Contratada</w:t>
                  </w:r>
                </w:p>
              </w:tc>
            </w:tr>
          </w:tbl>
          <w:p w:rsidR="009E622D" w:rsidRPr="00B40D52" w:rsidRDefault="009E622D" w:rsidP="00997D78">
            <w:pPr>
              <w:widowControl/>
              <w:rPr>
                <w:rFonts w:ascii="Arial" w:hAnsi="Arial" w:cs="Arial"/>
                <w:vanish/>
                <w:sz w:val="20"/>
                <w:szCs w:val="20"/>
                <w:lang w:val="pt-B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E622D" w:rsidRPr="00B40D52" w:rsidTr="00997D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22D" w:rsidRPr="00B40D52" w:rsidRDefault="009E622D" w:rsidP="00997D78">
                  <w:pPr>
                    <w:widowControl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Estabelecer estratégia de Emergência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de produtos </w:t>
            </w:r>
            <w:r w:rsidRPr="004A004F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ificados, fora dos padrões ou improprios para o consusmo.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Fornecimento de produtos inadequados 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afetando </w:t>
            </w:r>
            <w:r>
              <w:rPr>
                <w:rFonts w:ascii="Arial" w:hAnsi="Arial" w:cs="Arial"/>
                <w:sz w:val="20"/>
                <w:szCs w:val="20"/>
              </w:rPr>
              <w:t>a qualidade dos serviços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Empresa deverá disponibilzar mecanismo/procedimento  para substituição dos produtos inadequados </w:t>
            </w:r>
          </w:p>
        </w:tc>
      </w:tr>
      <w:tr w:rsidR="009E622D" w:rsidRPr="004A004F" w:rsidTr="00997D78">
        <w:tc>
          <w:tcPr>
            <w:tcW w:w="52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9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Aumento dos preços dos produtos </w:t>
            </w:r>
          </w:p>
        </w:tc>
        <w:tc>
          <w:tcPr>
            <w:tcW w:w="231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dos preço Fatos inflacionarios e de mercado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  <w:tc>
          <w:tcPr>
            <w:tcW w:w="250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Reequilíbrio financeiro econômico do C</w:t>
            </w:r>
            <w:r>
              <w:rPr>
                <w:rFonts w:ascii="Arial" w:hAnsi="Arial" w:cs="Arial"/>
                <w:sz w:val="20"/>
                <w:szCs w:val="20"/>
              </w:rPr>
              <w:t xml:space="preserve">ontrato </w:t>
            </w:r>
          </w:p>
        </w:tc>
      </w:tr>
    </w:tbl>
    <w:p w:rsidR="009E622D" w:rsidRPr="004A004F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:rsidR="009E622D" w:rsidRPr="004A004F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7"/>
        <w:gridCol w:w="2092"/>
        <w:gridCol w:w="2505"/>
        <w:gridCol w:w="1961"/>
        <w:gridCol w:w="2155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AMBIENTAL </w:t>
            </w:r>
          </w:p>
        </w:tc>
      </w:tr>
      <w:tr w:rsidR="009E622D" w:rsidRPr="004A004F" w:rsidTr="00997D78">
        <w:tc>
          <w:tcPr>
            <w:tcW w:w="55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50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1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5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Passivo ambiental </w:t>
            </w:r>
          </w:p>
        </w:tc>
        <w:tc>
          <w:tcPr>
            <w:tcW w:w="250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Passivo ambiental exi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tente e identificado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1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Identificar instalação ambiental existente</w:t>
            </w:r>
          </w:p>
        </w:tc>
      </w:tr>
      <w:tr w:rsidR="009E622D" w:rsidRPr="004A004F" w:rsidTr="00997D78">
        <w:tc>
          <w:tcPr>
            <w:tcW w:w="55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Passivo ambiental </w:t>
            </w:r>
          </w:p>
        </w:tc>
        <w:tc>
          <w:tcPr>
            <w:tcW w:w="250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Passivo ambiental existente e nao identificado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PÚBLICO </w:t>
            </w:r>
          </w:p>
        </w:tc>
        <w:tc>
          <w:tcPr>
            <w:tcW w:w="21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Identificar instalação ambiental existente</w:t>
            </w:r>
          </w:p>
        </w:tc>
      </w:tr>
      <w:tr w:rsidR="009E622D" w:rsidRPr="004A004F" w:rsidTr="00997D78">
        <w:tc>
          <w:tcPr>
            <w:tcW w:w="55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Descarte inadequado </w:t>
            </w:r>
          </w:p>
        </w:tc>
        <w:tc>
          <w:tcPr>
            <w:tcW w:w="250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Retirada, </w:t>
            </w:r>
            <w:r>
              <w:rPr>
                <w:rFonts w:ascii="Arial" w:hAnsi="Arial" w:cs="Arial"/>
                <w:sz w:val="20"/>
                <w:szCs w:val="20"/>
              </w:rPr>
              <w:t>transporte, acondicionamento  e coleta de residuos, produtos danificados e substituidos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1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Execução de descarte adequado a legislação ambiental, contratação especializada em descate de produtos.  </w:t>
            </w:r>
          </w:p>
        </w:tc>
      </w:tr>
    </w:tbl>
    <w:p w:rsidR="009E622D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9E622D" w:rsidRPr="004A004F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3"/>
        <w:gridCol w:w="2124"/>
        <w:gridCol w:w="2479"/>
        <w:gridCol w:w="1961"/>
        <w:gridCol w:w="2153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FINANCEIRO </w:t>
            </w:r>
          </w:p>
        </w:tc>
      </w:tr>
      <w:tr w:rsidR="009E622D" w:rsidRPr="004A004F" w:rsidTr="00997D78">
        <w:tc>
          <w:tcPr>
            <w:tcW w:w="5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47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1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2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1.Aumento extraordinário da inflação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1.1 Variação </w:t>
            </w: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extraordinária da taxa de juros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1.2 Variação extraordinária da taxa de cambial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1.3 Alteração extraordinária do cenário macroeconômico</w:t>
            </w:r>
          </w:p>
        </w:tc>
        <w:tc>
          <w:tcPr>
            <w:tcW w:w="247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Qualquer alteração extraordinária que impacte a execução do contrato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COMPARTILHADO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PUBLICO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COMPARTILHADO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COMPARTILHADO</w:t>
            </w:r>
          </w:p>
        </w:tc>
        <w:tc>
          <w:tcPr>
            <w:tcW w:w="21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Promover alteraçoes contratuais </w:t>
            </w:r>
          </w:p>
        </w:tc>
      </w:tr>
    </w:tbl>
    <w:p w:rsidR="009E622D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9E622D" w:rsidRPr="004A004F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"/>
        <w:gridCol w:w="1948"/>
        <w:gridCol w:w="2253"/>
        <w:gridCol w:w="1676"/>
        <w:gridCol w:w="2874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</w:p>
        </w:tc>
      </w:tr>
      <w:tr w:rsidR="009E622D" w:rsidRPr="004A004F" w:rsidTr="00997D78">
        <w:tc>
          <w:tcPr>
            <w:tcW w:w="51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2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67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87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1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Garantia de qualidade</w:t>
            </w:r>
          </w:p>
        </w:tc>
        <w:tc>
          <w:tcPr>
            <w:tcW w:w="22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Utilizaçao de veiculos de entraga sem condiçoes de uso e funcionamento</w:t>
            </w:r>
          </w:p>
        </w:tc>
        <w:tc>
          <w:tcPr>
            <w:tcW w:w="167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87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Exigência de </w:t>
            </w:r>
            <w:r>
              <w:rPr>
                <w:rFonts w:ascii="Arial" w:hAnsi="Arial" w:cs="Arial"/>
                <w:sz w:val="20"/>
                <w:szCs w:val="20"/>
              </w:rPr>
              <w:t>entrega dos produdos em veiculos em perfeitas condiçoes de uso e com capacidade para realizar o transporte</w:t>
            </w:r>
          </w:p>
        </w:tc>
      </w:tr>
    </w:tbl>
    <w:p w:rsidR="009E622D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E622D" w:rsidRPr="004A004F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3"/>
        <w:gridCol w:w="2122"/>
        <w:gridCol w:w="2849"/>
        <w:gridCol w:w="1592"/>
        <w:gridCol w:w="2154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OPERACIONAL </w:t>
            </w:r>
          </w:p>
        </w:tc>
      </w:tr>
      <w:tr w:rsidR="009E622D" w:rsidRPr="004A004F" w:rsidTr="00997D78">
        <w:tc>
          <w:tcPr>
            <w:tcW w:w="5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84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5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15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2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Gestão  inadequada </w:t>
            </w:r>
          </w:p>
        </w:tc>
        <w:tc>
          <w:tcPr>
            <w:tcW w:w="284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dos produtos diferentes das especificaçoes tecnicas, baixo padrão de qualidade, marcas diferentes  </w:t>
            </w:r>
          </w:p>
        </w:tc>
        <w:tc>
          <w:tcPr>
            <w:tcW w:w="15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15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 A contratada deverá assegurar que todos os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produtos 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fornecidos </w:t>
            </w:r>
            <w:r>
              <w:rPr>
                <w:rFonts w:ascii="Arial" w:hAnsi="Arial" w:cs="Arial"/>
                <w:sz w:val="20"/>
                <w:szCs w:val="20"/>
              </w:rPr>
              <w:t xml:space="preserve">antendam as especificaçoes tecnicas. </w:t>
            </w:r>
          </w:p>
        </w:tc>
      </w:tr>
      <w:tr w:rsidR="009E622D" w:rsidRPr="004A004F" w:rsidTr="00997D78">
        <w:tc>
          <w:tcPr>
            <w:tcW w:w="5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iscalização  </w:t>
            </w:r>
            <w:r>
              <w:rPr>
                <w:rFonts w:ascii="Arial" w:hAnsi="Arial" w:cs="Arial"/>
                <w:sz w:val="20"/>
                <w:szCs w:val="20"/>
              </w:rPr>
              <w:t xml:space="preserve">deficiente </w:t>
            </w:r>
          </w:p>
        </w:tc>
        <w:tc>
          <w:tcPr>
            <w:tcW w:w="284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Fiscalização da operação do serviço tendo como consequência a criação de um ambiente de desconfiança da entidade fiscalizadora em relação à Contratada, penalização da Contratada </w:t>
            </w:r>
          </w:p>
        </w:tc>
        <w:tc>
          <w:tcPr>
            <w:tcW w:w="15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PÚBLICO </w:t>
            </w:r>
          </w:p>
        </w:tc>
        <w:tc>
          <w:tcPr>
            <w:tcW w:w="215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 contratante deverá disponibilizar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servidores </w:t>
            </w:r>
            <w:r w:rsidRPr="004A004F">
              <w:rPr>
                <w:rFonts w:ascii="Arial" w:hAnsi="Arial" w:cs="Arial"/>
                <w:sz w:val="20"/>
                <w:szCs w:val="20"/>
              </w:rPr>
              <w:t>capacitados para a devida fiscalização do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contrato</w:t>
            </w:r>
          </w:p>
        </w:tc>
      </w:tr>
      <w:tr w:rsidR="009E622D" w:rsidRPr="004A004F" w:rsidTr="00997D78">
        <w:tc>
          <w:tcPr>
            <w:tcW w:w="553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Roubo e furto </w:t>
            </w:r>
            <w:r>
              <w:rPr>
                <w:rFonts w:ascii="Arial" w:hAnsi="Arial" w:cs="Arial"/>
                <w:sz w:val="20"/>
                <w:szCs w:val="20"/>
              </w:rPr>
              <w:t>dos produtos apos a entrega</w:t>
            </w:r>
          </w:p>
        </w:tc>
        <w:tc>
          <w:tcPr>
            <w:tcW w:w="2849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Compete as áreas de Contratante </w:t>
            </w:r>
            <w:r>
              <w:rPr>
                <w:rFonts w:ascii="Arial" w:hAnsi="Arial" w:cs="Arial"/>
                <w:sz w:val="20"/>
                <w:szCs w:val="20"/>
              </w:rPr>
              <w:t xml:space="preserve">adotar medidas de 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vigilância </w:t>
            </w:r>
            <w:r>
              <w:rPr>
                <w:rFonts w:ascii="Arial" w:hAnsi="Arial" w:cs="Arial"/>
                <w:sz w:val="20"/>
                <w:szCs w:val="20"/>
              </w:rPr>
              <w:t>garantindo a segurança dos locais onde os produtos estão armazenados</w:t>
            </w:r>
          </w:p>
        </w:tc>
        <w:tc>
          <w:tcPr>
            <w:tcW w:w="159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ÚBLICO </w:t>
            </w:r>
          </w:p>
        </w:tc>
        <w:tc>
          <w:tcPr>
            <w:tcW w:w="2154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 contratante deverá disponibilizar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servidores 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capacitados para a </w:t>
            </w:r>
            <w:r>
              <w:rPr>
                <w:rFonts w:ascii="Arial" w:hAnsi="Arial" w:cs="Arial"/>
                <w:sz w:val="20"/>
                <w:szCs w:val="20"/>
              </w:rPr>
              <w:t xml:space="preserve">realizar a vigilancia dos locais de armazenamento </w:t>
            </w:r>
          </w:p>
        </w:tc>
      </w:tr>
    </w:tbl>
    <w:p w:rsidR="009E622D" w:rsidRPr="004A004F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9E622D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:rsidR="009E622D" w:rsidRPr="004A004F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5"/>
        <w:gridCol w:w="2116"/>
        <w:gridCol w:w="2490"/>
        <w:gridCol w:w="1961"/>
        <w:gridCol w:w="2148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TERMINO ANTECIPADO </w:t>
            </w:r>
          </w:p>
        </w:tc>
      </w:tr>
      <w:tr w:rsidR="009E622D" w:rsidRPr="004A004F" w:rsidTr="00997D78">
        <w:tc>
          <w:tcPr>
            <w:tcW w:w="5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49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1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11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Descumprimento obrigaçoes contratuais </w:t>
            </w:r>
          </w:p>
        </w:tc>
        <w:tc>
          <w:tcPr>
            <w:tcW w:w="249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Inexecução total ou parcial por culpa da Contratada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ÚBLICO </w:t>
            </w:r>
          </w:p>
        </w:tc>
        <w:tc>
          <w:tcPr>
            <w:tcW w:w="21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Aplicação dads penalidades</w:t>
            </w:r>
          </w:p>
        </w:tc>
      </w:tr>
      <w:tr w:rsidR="009E622D" w:rsidRPr="004A004F" w:rsidTr="00997D78">
        <w:tc>
          <w:tcPr>
            <w:tcW w:w="5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116" w:type="dxa"/>
          </w:tcPr>
          <w:p w:rsidR="009E622D" w:rsidRPr="004A004F" w:rsidRDefault="009E622D" w:rsidP="00997D78">
            <w:pPr>
              <w:tabs>
                <w:tab w:val="left" w:pos="3402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Invalidação </w:t>
            </w:r>
          </w:p>
        </w:tc>
        <w:tc>
          <w:tcPr>
            <w:tcW w:w="249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Anulação do contrato/edital por não </w:t>
            </w: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ter observado quaisquer os requistos legais 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COMPARTILHADA </w:t>
            </w:r>
          </w:p>
        </w:tc>
        <w:tc>
          <w:tcPr>
            <w:tcW w:w="21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O contrato/edital deverá cumprir </w:t>
            </w: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rigorosamente a lei de licitações.  </w:t>
            </w:r>
          </w:p>
        </w:tc>
      </w:tr>
      <w:tr w:rsidR="009E622D" w:rsidRPr="004A004F" w:rsidTr="00997D78">
        <w:tc>
          <w:tcPr>
            <w:tcW w:w="5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211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Caso fortuito / Força Maior</w:t>
            </w:r>
          </w:p>
        </w:tc>
        <w:tc>
          <w:tcPr>
            <w:tcW w:w="249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Eventos que convulsionam a execução contratual e impedem que ela continue </w:t>
            </w: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COMPARTILHADO </w:t>
            </w:r>
          </w:p>
        </w:tc>
        <w:tc>
          <w:tcPr>
            <w:tcW w:w="21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22D" w:rsidRPr="004A004F" w:rsidTr="00997D78">
        <w:tc>
          <w:tcPr>
            <w:tcW w:w="55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11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Falencia da contratada </w:t>
            </w:r>
          </w:p>
        </w:tc>
        <w:tc>
          <w:tcPr>
            <w:tcW w:w="249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148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22D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9E622D" w:rsidRPr="004A004F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:rsidR="009E622D" w:rsidRPr="004A004F" w:rsidRDefault="009E622D" w:rsidP="009E622D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6"/>
        <w:gridCol w:w="3267"/>
        <w:gridCol w:w="1842"/>
        <w:gridCol w:w="1985"/>
        <w:gridCol w:w="1620"/>
      </w:tblGrid>
      <w:tr w:rsidR="009E622D" w:rsidRPr="004A004F" w:rsidTr="00997D78">
        <w:tc>
          <w:tcPr>
            <w:tcW w:w="9270" w:type="dxa"/>
            <w:gridSpan w:val="5"/>
          </w:tcPr>
          <w:p w:rsidR="009E622D" w:rsidRPr="004A004F" w:rsidRDefault="009E622D" w:rsidP="00997D78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JURIDICO </w:t>
            </w:r>
          </w:p>
        </w:tc>
      </w:tr>
      <w:tr w:rsidR="009E622D" w:rsidRPr="004A004F" w:rsidTr="00997D78">
        <w:tc>
          <w:tcPr>
            <w:tcW w:w="55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184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8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162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9E622D" w:rsidRPr="004A004F" w:rsidTr="00997D78">
        <w:tc>
          <w:tcPr>
            <w:tcW w:w="55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Não cumprimento do disposto na legislação trabalhista pelos seus empregados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1.1 Não cumprimento do disposto na legislação trabalhista pelos terceiros subcontratados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1.2 passivos trabalhista preteritos à celebração do contrato </w:t>
            </w:r>
          </w:p>
        </w:tc>
        <w:tc>
          <w:tcPr>
            <w:tcW w:w="184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PUBLICO </w:t>
            </w:r>
          </w:p>
        </w:tc>
        <w:tc>
          <w:tcPr>
            <w:tcW w:w="162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22D" w:rsidRPr="004A004F" w:rsidTr="00997D78">
        <w:tc>
          <w:tcPr>
            <w:tcW w:w="55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2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Não cumprimento da legislação consumeirista/direito dos usuários do serviço publico  </w:t>
            </w:r>
          </w:p>
        </w:tc>
        <w:tc>
          <w:tcPr>
            <w:tcW w:w="184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162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22D" w:rsidRPr="004A004F" w:rsidTr="00997D78">
        <w:tc>
          <w:tcPr>
            <w:tcW w:w="55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Açoes judiciais e/ou de orgãos de controle que impeçam ou suspendam a execuçao do contrato    </w:t>
            </w:r>
          </w:p>
        </w:tc>
        <w:tc>
          <w:tcPr>
            <w:tcW w:w="184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COMPARTILHADA </w:t>
            </w:r>
          </w:p>
        </w:tc>
        <w:tc>
          <w:tcPr>
            <w:tcW w:w="162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22D" w:rsidRPr="004A004F" w:rsidTr="00997D78">
        <w:tc>
          <w:tcPr>
            <w:tcW w:w="556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7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Fato do Princípe </w:t>
            </w:r>
          </w:p>
        </w:tc>
        <w:tc>
          <w:tcPr>
            <w:tcW w:w="1842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Alteraçoes do ambiente instituicional que gere economia ou majoração na execução do contrato (Ex. Normas, entendimentos administrativos, criação e extinção de tributos) deverão ser revestivos a fatos da contratada quanto da majoração e da contratante quanto da economia  </w:t>
            </w:r>
          </w:p>
        </w:tc>
        <w:tc>
          <w:tcPr>
            <w:tcW w:w="1985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COMPARTILHADA </w:t>
            </w:r>
          </w:p>
        </w:tc>
        <w:tc>
          <w:tcPr>
            <w:tcW w:w="1620" w:type="dxa"/>
          </w:tcPr>
          <w:p w:rsidR="009E622D" w:rsidRPr="004A004F" w:rsidRDefault="009E622D" w:rsidP="00997D78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22D" w:rsidRPr="00462F61" w:rsidRDefault="009E622D" w:rsidP="009E622D">
      <w:pPr>
        <w:tabs>
          <w:tab w:val="left" w:pos="3402"/>
        </w:tabs>
        <w:spacing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E622D" w:rsidRPr="00462F61" w:rsidSect="001812F4">
      <w:headerReference w:type="default" r:id="rId5"/>
      <w:footerReference w:type="default" r:id="rId6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2F4" w:rsidRPr="00C43433" w:rsidRDefault="009E622D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>Rua Edmundo Germano, nº 35, centro, Muriaé/MG, CEP: 36.880-047</w:t>
    </w:r>
    <w:r w:rsidRPr="00C43433">
      <w:rPr>
        <w:b/>
        <w:sz w:val="20"/>
        <w:szCs w:val="20"/>
      </w:rPr>
      <w:t>: procon@cimerp.mg.gov.br</w:t>
    </w:r>
  </w:p>
  <w:p w:rsidR="001812F4" w:rsidRDefault="009E622D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9E622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2F4" w:rsidRDefault="009E622D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7019C0B5" wp14:editId="2702C728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9E622D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408E"/>
    <w:multiLevelType w:val="multilevel"/>
    <w:tmpl w:val="A10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5526"/>
    <w:multiLevelType w:val="multilevel"/>
    <w:tmpl w:val="997E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061E6B"/>
    <w:multiLevelType w:val="multilevel"/>
    <w:tmpl w:val="5CBC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7730"/>
    <w:multiLevelType w:val="multilevel"/>
    <w:tmpl w:val="7F0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4452F"/>
    <w:multiLevelType w:val="multilevel"/>
    <w:tmpl w:val="986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104BC"/>
    <w:multiLevelType w:val="multilevel"/>
    <w:tmpl w:val="7B90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2D"/>
    <w:rsid w:val="006D6A6F"/>
    <w:rsid w:val="009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13A5B-C57B-4222-9611-90575BE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2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62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2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rsid w:val="009E622D"/>
    <w:pPr>
      <w:keepNext/>
      <w:keepLines/>
      <w:spacing w:before="220" w:after="40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62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22D"/>
    <w:rPr>
      <w:rFonts w:asciiTheme="majorHAnsi" w:eastAsiaTheme="majorEastAsia" w:hAnsiTheme="majorHAnsi" w:cstheme="majorBidi"/>
      <w:b/>
      <w:bCs/>
      <w:color w:val="5B9BD5" w:themeColor="accent1"/>
      <w:lang w:val="pt-PT" w:eastAsia="pt-BR"/>
    </w:rPr>
  </w:style>
  <w:style w:type="character" w:customStyle="1" w:styleId="Ttulo5Char">
    <w:name w:val="Título 5 Char"/>
    <w:basedOn w:val="Fontepargpadro"/>
    <w:link w:val="Ttulo5"/>
    <w:rsid w:val="009E622D"/>
    <w:rPr>
      <w:rFonts w:ascii="Times New Roman" w:eastAsia="Times New Roman" w:hAnsi="Times New Roman" w:cs="Times New Roman"/>
      <w:b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9E6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22D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9E6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22D"/>
    <w:rPr>
      <w:rFonts w:ascii="Times New Roman" w:eastAsia="Times New Roman" w:hAnsi="Times New Roman" w:cs="Times New Roman"/>
      <w:lang w:val="pt-PT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22D"/>
    <w:rPr>
      <w:rFonts w:ascii="Tahoma" w:eastAsia="Times New Roman" w:hAnsi="Tahoma" w:cs="Tahoma"/>
      <w:sz w:val="16"/>
      <w:szCs w:val="16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22D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9E622D"/>
    <w:rPr>
      <w:rFonts w:ascii="Segoe UI" w:eastAsia="Times New Roman" w:hAnsi="Segoe UI" w:cs="Segoe UI"/>
      <w:sz w:val="18"/>
      <w:szCs w:val="18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9E622D"/>
    <w:rPr>
      <w:rFonts w:ascii="Liberation Sans Narrow" w:eastAsia="Liberation Sans Narrow" w:hAnsi="Liberation Sans Narrow" w:cs="Liberation Sans Narrow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E622D"/>
    <w:rPr>
      <w:rFonts w:ascii="Liberation Sans Narrow" w:eastAsia="Liberation Sans Narrow" w:hAnsi="Liberation Sans Narrow" w:cs="Liberation Sans Narrow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E622D"/>
  </w:style>
  <w:style w:type="paragraph" w:styleId="TextosemFormatao">
    <w:name w:val="Plain Text"/>
    <w:basedOn w:val="Normal"/>
    <w:link w:val="TextosemFormataoChar"/>
    <w:rsid w:val="009E622D"/>
    <w:pPr>
      <w:widowControl/>
    </w:pPr>
    <w:rPr>
      <w:rFonts w:ascii="Courier New" w:hAnsi="Courier New"/>
      <w:sz w:val="20"/>
      <w:szCs w:val="20"/>
      <w:lang w:val="pt-BR"/>
    </w:rPr>
  </w:style>
  <w:style w:type="character" w:customStyle="1" w:styleId="TextosemFormataoChar">
    <w:name w:val="Texto sem Formatação Char"/>
    <w:basedOn w:val="Fontepargpadro"/>
    <w:link w:val="TextosemFormatao"/>
    <w:rsid w:val="009E622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Default">
    <w:name w:val="Default"/>
    <w:rsid w:val="009E62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E622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E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E62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622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622D"/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622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E622D"/>
    <w:rPr>
      <w:rFonts w:ascii="Times New Roman" w:eastAsia="Times New Roman" w:hAnsi="Times New Roman" w:cs="Times New Roman"/>
      <w:sz w:val="16"/>
      <w:szCs w:val="16"/>
      <w:lang w:val="pt-PT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E622D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9E622D"/>
    <w:rPr>
      <w:rFonts w:ascii="Times New Roman" w:eastAsia="Times New Roman" w:hAnsi="Times New Roman" w:cs="Times New Roman"/>
      <w:sz w:val="16"/>
      <w:szCs w:val="16"/>
      <w:lang w:val="pt-PT" w:eastAsia="pt-BR"/>
    </w:rPr>
  </w:style>
  <w:style w:type="character" w:styleId="Forte">
    <w:name w:val="Strong"/>
    <w:basedOn w:val="Fontepargpadro"/>
    <w:uiPriority w:val="22"/>
    <w:qFormat/>
    <w:rsid w:val="009E622D"/>
    <w:rPr>
      <w:b/>
      <w:bCs/>
    </w:rPr>
  </w:style>
  <w:style w:type="paragraph" w:customStyle="1" w:styleId="Nivel3">
    <w:name w:val="Nivel 3"/>
    <w:basedOn w:val="Normal"/>
    <w:link w:val="Nivel3Char"/>
    <w:autoRedefine/>
    <w:qFormat/>
    <w:rsid w:val="009E622D"/>
    <w:pPr>
      <w:widowControl/>
      <w:spacing w:line="360" w:lineRule="auto"/>
      <w:jc w:val="center"/>
    </w:pPr>
    <w:rPr>
      <w:rFonts w:ascii="Arial" w:eastAsiaTheme="minorEastAsia" w:hAnsi="Arial" w:cs="Arial"/>
      <w:color w:val="FF0000"/>
      <w:lang w:val="pt-BR"/>
    </w:rPr>
  </w:style>
  <w:style w:type="character" w:customStyle="1" w:styleId="Nivel3Char">
    <w:name w:val="Nivel 3 Char"/>
    <w:basedOn w:val="Fontepargpadro"/>
    <w:link w:val="Nivel3"/>
    <w:locked/>
    <w:rsid w:val="009E622D"/>
    <w:rPr>
      <w:rFonts w:ascii="Arial" w:eastAsiaTheme="minorEastAsia" w:hAnsi="Arial" w:cs="Arial"/>
      <w:color w:val="FF0000"/>
      <w:lang w:eastAsia="pt-BR"/>
    </w:rPr>
  </w:style>
  <w:style w:type="paragraph" w:customStyle="1" w:styleId="Standard">
    <w:name w:val="Standard"/>
    <w:rsid w:val="009E622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9E622D"/>
    <w:pPr>
      <w:autoSpaceDE w:val="0"/>
      <w:autoSpaceDN w:val="0"/>
      <w:jc w:val="both"/>
    </w:pPr>
    <w:rPr>
      <w:rFonts w:ascii="Arial" w:eastAsia="Arial" w:hAnsi="Arial" w:cs="Arial"/>
      <w:lang w:eastAsia="en-US"/>
    </w:rPr>
  </w:style>
  <w:style w:type="paragraph" w:customStyle="1" w:styleId="TTULOATESTADO">
    <w:name w:val="TÍTULO ATESTADO"/>
    <w:basedOn w:val="Standard"/>
    <w:rsid w:val="009E622D"/>
    <w:pPr>
      <w:widowControl w:val="0"/>
      <w:autoSpaceDN w:val="0"/>
      <w:jc w:val="center"/>
    </w:pPr>
    <w:rPr>
      <w:rFonts w:eastAsia="Times New Roman"/>
      <w:b/>
      <w:bCs/>
      <w:caps/>
      <w:kern w:val="3"/>
      <w:lang w:bidi="hi-IN"/>
    </w:rPr>
  </w:style>
  <w:style w:type="paragraph" w:customStyle="1" w:styleId="GradeColorida-nfase11">
    <w:name w:val="Grade Colorida - Ênfase 11"/>
    <w:basedOn w:val="Normal"/>
    <w:next w:val="Normal"/>
    <w:qFormat/>
    <w:rsid w:val="009E622D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Theme="minorHAnsi" w:eastAsia="Calibri" w:hAnsiTheme="minorHAnsi" w:cstheme="minorBidi"/>
      <w:i/>
      <w:iCs/>
      <w:color w:val="000000"/>
      <w:sz w:val="20"/>
      <w:szCs w:val="20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622D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622D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9E622D"/>
    <w:rPr>
      <w:rFonts w:ascii="Times New Roman" w:eastAsia="Times New Roman" w:hAnsi="Times New Roman" w:cs="Times New Roman"/>
      <w:lang w:val="pt-PT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22D"/>
    <w:pPr>
      <w:numPr>
        <w:ilvl w:val="1"/>
      </w:numPr>
      <w:autoSpaceDE w:val="0"/>
      <w:autoSpaceDN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E622D"/>
    <w:rPr>
      <w:rFonts w:eastAsiaTheme="minorEastAsia"/>
      <w:color w:val="5A5A5A" w:themeColor="text1" w:themeTint="A5"/>
      <w:spacing w:val="1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1066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2026-02-26T21:15:00Z</dcterms:created>
  <dcterms:modified xsi:type="dcterms:W3CDTF">2026-02-26T21:22:00Z</dcterms:modified>
</cp:coreProperties>
</file>