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BD8" w:rsidRPr="00091AFB" w:rsidRDefault="00BE0BD8" w:rsidP="00BE0BD8">
      <w:pPr>
        <w:spacing w:line="360" w:lineRule="auto"/>
        <w:ind w:left="284" w:right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91AFB">
        <w:rPr>
          <w:rFonts w:ascii="Arial" w:hAnsi="Arial" w:cs="Arial"/>
          <w:b/>
          <w:sz w:val="20"/>
          <w:szCs w:val="20"/>
          <w:u w:val="single"/>
        </w:rPr>
        <w:t>MATRIZ DE GERENCIAMENTO DE RISCOS</w:t>
      </w: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>1 - INFORMAÇÕES BÁSICAS</w:t>
      </w:r>
      <w:r w:rsidRPr="00091AFB">
        <w:rPr>
          <w:rFonts w:ascii="Arial" w:hAnsi="Arial" w:cs="Arial"/>
          <w:sz w:val="20"/>
          <w:szCs w:val="20"/>
        </w:rPr>
        <w:t xml:space="preserve">: </w:t>
      </w: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>Responsável pela Edição:</w:t>
      </w:r>
      <w:r w:rsidRPr="00091AFB">
        <w:rPr>
          <w:rFonts w:ascii="Arial" w:hAnsi="Arial" w:cs="Arial"/>
          <w:sz w:val="20"/>
          <w:szCs w:val="20"/>
        </w:rPr>
        <w:t xml:space="preserve"> Comissão de Contratação </w:t>
      </w: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>Data de Elaboração:</w:t>
      </w:r>
      <w:r w:rsidRPr="00091AFB">
        <w:rPr>
          <w:rFonts w:ascii="Arial" w:hAnsi="Arial" w:cs="Arial"/>
          <w:sz w:val="20"/>
          <w:szCs w:val="20"/>
        </w:rPr>
        <w:t xml:space="preserve"> </w:t>
      </w:r>
      <w:r w:rsidR="00CA3B47" w:rsidRPr="00091AFB">
        <w:rPr>
          <w:rFonts w:ascii="Arial" w:hAnsi="Arial" w:cs="Arial"/>
          <w:sz w:val="20"/>
          <w:szCs w:val="20"/>
        </w:rPr>
        <w:t>13 de abril</w:t>
      </w:r>
      <w:r w:rsidRPr="00091AFB">
        <w:rPr>
          <w:rFonts w:ascii="Arial" w:hAnsi="Arial" w:cs="Arial"/>
          <w:sz w:val="20"/>
          <w:szCs w:val="20"/>
        </w:rPr>
        <w:t xml:space="preserve"> de 202</w:t>
      </w:r>
      <w:r w:rsidR="00370CAA" w:rsidRPr="00091AFB">
        <w:rPr>
          <w:rFonts w:ascii="Arial" w:hAnsi="Arial" w:cs="Arial"/>
          <w:sz w:val="20"/>
          <w:szCs w:val="20"/>
        </w:rPr>
        <w:t>6</w:t>
      </w:r>
      <w:r w:rsidRPr="00091AFB">
        <w:rPr>
          <w:rFonts w:ascii="Arial" w:hAnsi="Arial" w:cs="Arial"/>
          <w:sz w:val="20"/>
          <w:szCs w:val="20"/>
        </w:rPr>
        <w:t xml:space="preserve">.  </w:t>
      </w:r>
    </w:p>
    <w:p w:rsidR="00370CAA" w:rsidRPr="00091AFB" w:rsidRDefault="00370CAA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>Pregão Eletronico:</w:t>
      </w:r>
      <w:r w:rsidRPr="00091AFB">
        <w:rPr>
          <w:rFonts w:ascii="Arial" w:hAnsi="Arial" w:cs="Arial"/>
          <w:sz w:val="20"/>
          <w:szCs w:val="20"/>
        </w:rPr>
        <w:t xml:space="preserve"> </w:t>
      </w:r>
      <w:r w:rsidR="00CA3B47" w:rsidRPr="00091AFB">
        <w:rPr>
          <w:rFonts w:ascii="Arial" w:hAnsi="Arial" w:cs="Arial"/>
          <w:sz w:val="20"/>
          <w:szCs w:val="20"/>
        </w:rPr>
        <w:t>04</w:t>
      </w:r>
      <w:r w:rsidRPr="00091AFB">
        <w:rPr>
          <w:rFonts w:ascii="Arial" w:hAnsi="Arial" w:cs="Arial"/>
          <w:sz w:val="20"/>
          <w:szCs w:val="20"/>
        </w:rPr>
        <w:t xml:space="preserve">/2026 - Processo de Licitação nº </w:t>
      </w:r>
      <w:r w:rsidR="00CA3B47" w:rsidRPr="00091AFB">
        <w:rPr>
          <w:rFonts w:ascii="Arial" w:hAnsi="Arial" w:cs="Arial"/>
          <w:sz w:val="20"/>
          <w:szCs w:val="20"/>
        </w:rPr>
        <w:t>05</w:t>
      </w:r>
      <w:r w:rsidRPr="00091AFB">
        <w:rPr>
          <w:rFonts w:ascii="Arial" w:hAnsi="Arial" w:cs="Arial"/>
          <w:sz w:val="20"/>
          <w:szCs w:val="20"/>
        </w:rPr>
        <w:t>/2026</w:t>
      </w: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b/>
          <w:sz w:val="20"/>
          <w:szCs w:val="20"/>
        </w:rPr>
      </w:pP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b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 xml:space="preserve">Objeto da Matriz de Riscos: </w:t>
      </w: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sz w:val="20"/>
          <w:szCs w:val="20"/>
        </w:rPr>
        <w:t xml:space="preserve">1.1 - O objeto da presente licitação é </w:t>
      </w:r>
      <w:r w:rsidR="00370CAA" w:rsidRPr="00091AFB">
        <w:rPr>
          <w:rFonts w:ascii="Arial" w:hAnsi="Arial" w:cs="Arial"/>
          <w:sz w:val="20"/>
          <w:szCs w:val="20"/>
        </w:rPr>
        <w:t>a</w:t>
      </w:r>
      <w:r w:rsidRPr="00091AFB">
        <w:rPr>
          <w:rFonts w:ascii="Arial" w:hAnsi="Arial" w:cs="Arial"/>
          <w:sz w:val="20"/>
          <w:szCs w:val="20"/>
        </w:rPr>
        <w:t xml:space="preserve"> </w:t>
      </w:r>
      <w:r w:rsidR="00370CAA" w:rsidRPr="00091AFB">
        <w:rPr>
          <w:rFonts w:ascii="Arial" w:hAnsi="Arial" w:cs="Arial"/>
          <w:b/>
          <w:i/>
          <w:w w:val="105"/>
          <w:sz w:val="20"/>
          <w:szCs w:val="20"/>
        </w:rPr>
        <w:t>FUTURA E EVENTUAL CONTRATAÇÃO DE EMPRESA OU CONSÓRCIO DE EMPRESAS PARA O FORNECIMENTO PARCELADO DE MOBILIARIO, ELETROELETRONICO E EQUIPAMENTOS DE INFORMATICA PARA ATENDER AS NECESSIDADES DO CONSÓRCIO INTERMUNICIPAL MULTIFINALITARIO DOS MUNICÍPIOS DA MICRORREGIÃO DO MEDIO RIO POMBA – CIMERP</w:t>
      </w:r>
      <w:r w:rsidRPr="00091AFB">
        <w:rPr>
          <w:rFonts w:ascii="Arial" w:hAnsi="Arial" w:cs="Arial"/>
          <w:sz w:val="20"/>
          <w:szCs w:val="20"/>
        </w:rPr>
        <w:t>, de acordo com as regras e condições dispostas neste Edital.</w:t>
      </w: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BE0BD8" w:rsidRPr="00091AFB" w:rsidRDefault="00BE0BD8" w:rsidP="00BE0BD8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>2 – HISTÓRICO DE INTERCORRENCIAS:</w:t>
      </w:r>
      <w:r w:rsidRPr="00091AFB">
        <w:rPr>
          <w:rFonts w:ascii="Arial" w:hAnsi="Arial" w:cs="Arial"/>
          <w:sz w:val="20"/>
          <w:szCs w:val="20"/>
        </w:rPr>
        <w:t xml:space="preserve"> Não foram identificadas intercorrências anteriores que possam elevar os riscos da contratação.  </w:t>
      </w:r>
    </w:p>
    <w:p w:rsidR="00BE0BD8" w:rsidRPr="00091AFB" w:rsidRDefault="00BE0BD8" w:rsidP="00BE0BD8">
      <w:pPr>
        <w:spacing w:line="360" w:lineRule="auto"/>
        <w:ind w:right="-709"/>
        <w:jc w:val="both"/>
        <w:rPr>
          <w:rFonts w:ascii="Arial" w:hAnsi="Arial" w:cs="Arial"/>
          <w:sz w:val="20"/>
          <w:szCs w:val="20"/>
        </w:rPr>
      </w:pPr>
    </w:p>
    <w:p w:rsidR="00BE0BD8" w:rsidRPr="00091AFB" w:rsidRDefault="00370CAA" w:rsidP="00370CAA">
      <w:pPr>
        <w:spacing w:line="360" w:lineRule="auto"/>
        <w:ind w:right="-709"/>
        <w:jc w:val="both"/>
        <w:rPr>
          <w:rFonts w:ascii="Arial" w:hAnsi="Arial" w:cs="Arial"/>
          <w:b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 xml:space="preserve">      </w:t>
      </w:r>
      <w:r w:rsidR="00BE0BD8" w:rsidRPr="00091AFB">
        <w:rPr>
          <w:rFonts w:ascii="Arial" w:hAnsi="Arial" w:cs="Arial"/>
          <w:b/>
          <w:sz w:val="20"/>
          <w:szCs w:val="20"/>
        </w:rPr>
        <w:t xml:space="preserve">3 - RISCOS IDENTIFICADOS: </w:t>
      </w:r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685"/>
        <w:gridCol w:w="1276"/>
        <w:gridCol w:w="1276"/>
        <w:gridCol w:w="1276"/>
      </w:tblGrid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Nº 01</w:t>
            </w:r>
          </w:p>
        </w:tc>
        <w:tc>
          <w:tcPr>
            <w:tcW w:w="155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RISCO </w:t>
            </w:r>
          </w:p>
        </w:tc>
        <w:tc>
          <w:tcPr>
            <w:tcW w:w="3685" w:type="dxa"/>
          </w:tcPr>
          <w:p w:rsidR="00BE0BD8" w:rsidRPr="00091AFB" w:rsidRDefault="00BE0BD8" w:rsidP="00532ACA">
            <w:pPr>
              <w:spacing w:line="360" w:lineRule="auto"/>
              <w:ind w:right="-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CAUSA DO RISCO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FASE</w:t>
            </w:r>
          </w:p>
        </w:tc>
        <w:tc>
          <w:tcPr>
            <w:tcW w:w="1276" w:type="dxa"/>
          </w:tcPr>
          <w:p w:rsidR="00BE0BD8" w:rsidRPr="00091AFB" w:rsidRDefault="00BE0BD8" w:rsidP="00370CAA">
            <w:pPr>
              <w:spacing w:line="360" w:lineRule="auto"/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ALOCADO PARA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NIVEL DO RISCO (I x P)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R-01</w:t>
            </w:r>
          </w:p>
        </w:tc>
        <w:tc>
          <w:tcPr>
            <w:tcW w:w="1559" w:type="dxa"/>
          </w:tcPr>
          <w:p w:rsidR="00BE0BD8" w:rsidRPr="00091AFB" w:rsidRDefault="00BE0BD8" w:rsidP="00532ACA">
            <w:pPr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Não conclusão do Processo licitatório  </w:t>
            </w:r>
          </w:p>
        </w:tc>
        <w:tc>
          <w:tcPr>
            <w:tcW w:w="3685" w:type="dxa"/>
          </w:tcPr>
          <w:p w:rsidR="00BE0BD8" w:rsidRPr="00091AFB" w:rsidRDefault="00BE0BD8" w:rsidP="00370C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Não resolução de demandas 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administrativas e operacionais</w:t>
            </w:r>
            <w:r w:rsidRPr="00091AFB">
              <w:rPr>
                <w:rFonts w:ascii="Arial" w:hAnsi="Arial" w:cs="Arial"/>
                <w:sz w:val="16"/>
                <w:szCs w:val="16"/>
              </w:rPr>
              <w:t>, por parte d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o PROCON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, em virtude 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ausencia de condiçoes de trabalho.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Planejamento </w:t>
            </w:r>
          </w:p>
        </w:tc>
        <w:tc>
          <w:tcPr>
            <w:tcW w:w="1276" w:type="dxa"/>
          </w:tcPr>
          <w:p w:rsidR="00BE0BD8" w:rsidRPr="00091AFB" w:rsidRDefault="00BE0BD8" w:rsidP="00370CAA">
            <w:pPr>
              <w:spacing w:line="360" w:lineRule="auto"/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Administração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Médio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Impactos 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I - 1</w:t>
            </w:r>
          </w:p>
        </w:tc>
        <w:tc>
          <w:tcPr>
            <w:tcW w:w="9072" w:type="dxa"/>
            <w:gridSpan w:val="5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Paralização das atividades administrativas e impossibilidade de resolução de demandas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Ações Preventivas 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AP- 01</w:t>
            </w:r>
          </w:p>
        </w:tc>
        <w:tc>
          <w:tcPr>
            <w:tcW w:w="5244" w:type="dxa"/>
            <w:gridSpan w:val="2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Interação com o mercado para o conhecimento dos detalhes da contratação.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Elaboração de pesquisa de preços que realmente reflita e realidade do mercado.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Ampla divulgação do instrumento convocatório; </w:t>
            </w:r>
          </w:p>
        </w:tc>
        <w:tc>
          <w:tcPr>
            <w:tcW w:w="3828" w:type="dxa"/>
            <w:gridSpan w:val="3"/>
          </w:tcPr>
          <w:p w:rsidR="00BE0BD8" w:rsidRPr="00091AFB" w:rsidRDefault="00BE0BD8" w:rsidP="00370C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Responsáveis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: Comissão de Contratação e Secretário 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Executivo do CIMERP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Ações de Contingência </w:t>
            </w:r>
          </w:p>
        </w:tc>
      </w:tr>
      <w:tr w:rsidR="00BE0BD8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AC-01</w:t>
            </w:r>
          </w:p>
        </w:tc>
        <w:tc>
          <w:tcPr>
            <w:tcW w:w="5244" w:type="dxa"/>
            <w:gridSpan w:val="2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Adiamento ou cancelamento de atividades administrativas ou de 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 xml:space="preserve">atendimentos aos PROCONs nos </w:t>
            </w:r>
            <w:r w:rsidRPr="00091AFB">
              <w:rPr>
                <w:rFonts w:ascii="Arial" w:hAnsi="Arial" w:cs="Arial"/>
                <w:sz w:val="16"/>
                <w:szCs w:val="16"/>
              </w:rPr>
              <w:t>Município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s consorciados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>- Abertura imediata de novo processo de licitação</w:t>
            </w:r>
          </w:p>
        </w:tc>
        <w:tc>
          <w:tcPr>
            <w:tcW w:w="3828" w:type="dxa"/>
            <w:gridSpan w:val="3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Responsáveis: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 Comissão de Contratação e 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Secretário Executivo do CIMERP</w:t>
            </w:r>
          </w:p>
        </w:tc>
      </w:tr>
    </w:tbl>
    <w:p w:rsidR="00BE0BD8" w:rsidRPr="00091AFB" w:rsidRDefault="00BE0BD8" w:rsidP="00BE0BD8">
      <w:pPr>
        <w:spacing w:line="360" w:lineRule="auto"/>
        <w:ind w:right="-709"/>
        <w:jc w:val="both"/>
        <w:rPr>
          <w:rFonts w:ascii="Arial" w:hAnsi="Arial" w:cs="Arial"/>
        </w:rPr>
      </w:pPr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551"/>
        <w:gridCol w:w="1276"/>
        <w:gridCol w:w="1134"/>
        <w:gridCol w:w="1276"/>
      </w:tblGrid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Nº 02</w:t>
            </w:r>
          </w:p>
        </w:tc>
        <w:tc>
          <w:tcPr>
            <w:tcW w:w="2835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RISCO </w:t>
            </w:r>
          </w:p>
        </w:tc>
        <w:tc>
          <w:tcPr>
            <w:tcW w:w="2551" w:type="dxa"/>
          </w:tcPr>
          <w:p w:rsidR="00BE0BD8" w:rsidRPr="00091AFB" w:rsidRDefault="00BE0BD8" w:rsidP="00532ACA">
            <w:pPr>
              <w:spacing w:line="360" w:lineRule="auto"/>
              <w:ind w:right="-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CAUSA DO RISCO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FASE</w:t>
            </w:r>
          </w:p>
        </w:tc>
        <w:tc>
          <w:tcPr>
            <w:tcW w:w="1134" w:type="dxa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ALOCADO PARA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NIVEL DO RISCO (I x P)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R-02</w:t>
            </w:r>
          </w:p>
        </w:tc>
        <w:tc>
          <w:tcPr>
            <w:tcW w:w="2835" w:type="dxa"/>
          </w:tcPr>
          <w:p w:rsidR="00BE0BD8" w:rsidRPr="00091AFB" w:rsidRDefault="00BE0BD8" w:rsidP="00532ACA">
            <w:pPr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>Perda das condições de habilitação e qualificação do contrat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ad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o durante a execução do contrato. </w:t>
            </w:r>
          </w:p>
        </w:tc>
        <w:tc>
          <w:tcPr>
            <w:tcW w:w="2551" w:type="dxa"/>
          </w:tcPr>
          <w:p w:rsidR="00BE0BD8" w:rsidRPr="00091AFB" w:rsidRDefault="00BE0BD8" w:rsidP="00532ACA">
            <w:pPr>
              <w:spacing w:line="360" w:lineRule="auto"/>
              <w:ind w:right="-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Ausência de fiscalização e gestão ineficiente da execução do contrato.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>Gestão do Contrato</w:t>
            </w:r>
          </w:p>
        </w:tc>
        <w:tc>
          <w:tcPr>
            <w:tcW w:w="1134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Contratada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Médio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Impactos 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I - 2</w:t>
            </w:r>
          </w:p>
        </w:tc>
        <w:tc>
          <w:tcPr>
            <w:tcW w:w="9072" w:type="dxa"/>
            <w:gridSpan w:val="5"/>
          </w:tcPr>
          <w:p w:rsidR="00BE0BD8" w:rsidRPr="00091AFB" w:rsidRDefault="00F13A35" w:rsidP="00F13A35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Suspensão no fornecimentos dos produtos </w:t>
            </w:r>
            <w:r w:rsidR="00BE0BD8" w:rsidRPr="00091AFB">
              <w:rPr>
                <w:rFonts w:ascii="Arial" w:hAnsi="Arial" w:cs="Arial"/>
                <w:sz w:val="16"/>
                <w:szCs w:val="16"/>
              </w:rPr>
              <w:t xml:space="preserve">e não atendimento da demanda.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Ações Preventivas 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lastRenderedPageBreak/>
              <w:t>AP-02</w:t>
            </w:r>
          </w:p>
        </w:tc>
        <w:tc>
          <w:tcPr>
            <w:tcW w:w="6662" w:type="dxa"/>
            <w:gridSpan w:val="3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Aprimoramento das ações de fiscalização e de gestão, exigência de apresentação de documentos fiscais e trabalhistas;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Atenção a sinais externos que indiquem possível endividamento financeiro da contratada, gerando atraso no pagamento de imposto, tributos, seguro, manutenção do veículo e outros. </w:t>
            </w:r>
          </w:p>
        </w:tc>
        <w:tc>
          <w:tcPr>
            <w:tcW w:w="2410" w:type="dxa"/>
            <w:gridSpan w:val="2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Responsáveis: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Fiscal e gestor do contrato.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Ações de Contingência </w:t>
            </w:r>
          </w:p>
        </w:tc>
      </w:tr>
      <w:tr w:rsidR="00BE0BD8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AC - 2</w:t>
            </w:r>
          </w:p>
        </w:tc>
        <w:tc>
          <w:tcPr>
            <w:tcW w:w="6662" w:type="dxa"/>
            <w:gridSpan w:val="3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Rescisão contratual;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Aplicação de penalidades;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Suspensão do pagamento;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Convocação e contratação dos demais licitantes de acordo com a listagem de habilitados;  </w:t>
            </w:r>
          </w:p>
        </w:tc>
        <w:tc>
          <w:tcPr>
            <w:tcW w:w="2410" w:type="dxa"/>
            <w:gridSpan w:val="2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Responsáveis: Comissão de contratação. </w:t>
            </w:r>
          </w:p>
        </w:tc>
      </w:tr>
    </w:tbl>
    <w:p w:rsidR="00BE0BD8" w:rsidRPr="00091AFB" w:rsidRDefault="00BE0BD8" w:rsidP="00BE0BD8">
      <w:pPr>
        <w:spacing w:line="360" w:lineRule="auto"/>
        <w:ind w:right="-709"/>
        <w:jc w:val="both"/>
        <w:rPr>
          <w:rFonts w:ascii="Arial" w:hAnsi="Arial" w:cs="Arial"/>
        </w:rPr>
      </w:pPr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977"/>
        <w:gridCol w:w="1134"/>
        <w:gridCol w:w="1134"/>
        <w:gridCol w:w="1276"/>
      </w:tblGrid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Nº 03</w:t>
            </w:r>
          </w:p>
        </w:tc>
        <w:tc>
          <w:tcPr>
            <w:tcW w:w="2551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RISCO </w:t>
            </w:r>
          </w:p>
        </w:tc>
        <w:tc>
          <w:tcPr>
            <w:tcW w:w="2977" w:type="dxa"/>
          </w:tcPr>
          <w:p w:rsidR="00BE0BD8" w:rsidRPr="00091AFB" w:rsidRDefault="00BE0BD8" w:rsidP="00532ACA">
            <w:pPr>
              <w:spacing w:line="360" w:lineRule="auto"/>
              <w:ind w:right="-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CAUSA DO RISCO </w:t>
            </w:r>
          </w:p>
        </w:tc>
        <w:tc>
          <w:tcPr>
            <w:tcW w:w="1134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FASE</w:t>
            </w:r>
          </w:p>
        </w:tc>
        <w:tc>
          <w:tcPr>
            <w:tcW w:w="1134" w:type="dxa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ALOCADO PARA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NIVEL DO RISCO (I x P)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R-03</w:t>
            </w:r>
          </w:p>
        </w:tc>
        <w:tc>
          <w:tcPr>
            <w:tcW w:w="2551" w:type="dxa"/>
          </w:tcPr>
          <w:p w:rsidR="00BE0BD8" w:rsidRPr="00091AFB" w:rsidRDefault="00370CAA" w:rsidP="00370CAA">
            <w:pPr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Entrega de produtos fora dos requisitos e padrões de qualidade </w:t>
            </w:r>
          </w:p>
        </w:tc>
        <w:tc>
          <w:tcPr>
            <w:tcW w:w="2977" w:type="dxa"/>
          </w:tcPr>
          <w:p w:rsidR="00370CAA" w:rsidRPr="00091AFB" w:rsidRDefault="00BE0BD8" w:rsidP="00532ACA">
            <w:pPr>
              <w:spacing w:line="360" w:lineRule="auto"/>
              <w:ind w:right="-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 xml:space="preserve">Recebimento deficiente dos produtos, </w:t>
            </w:r>
          </w:p>
          <w:p w:rsidR="00BE0BD8" w:rsidRPr="00091AFB" w:rsidRDefault="00370CAA" w:rsidP="00370CAA">
            <w:pPr>
              <w:spacing w:line="360" w:lineRule="auto"/>
              <w:ind w:right="-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>- Ausencia de teste e conferencia dos produtos</w:t>
            </w:r>
            <w:r w:rsidR="00BE0BD8" w:rsidRPr="00091AF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>Gestão do Contrato</w:t>
            </w:r>
          </w:p>
        </w:tc>
        <w:tc>
          <w:tcPr>
            <w:tcW w:w="1134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Contratada </w:t>
            </w:r>
          </w:p>
        </w:tc>
        <w:tc>
          <w:tcPr>
            <w:tcW w:w="1276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Médio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Impactos 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I – 3</w:t>
            </w:r>
          </w:p>
        </w:tc>
        <w:tc>
          <w:tcPr>
            <w:tcW w:w="9072" w:type="dxa"/>
            <w:gridSpan w:val="5"/>
          </w:tcPr>
          <w:p w:rsidR="00BE0BD8" w:rsidRPr="00091AFB" w:rsidRDefault="00BE0BD8" w:rsidP="00370CA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>Suspensão d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 xml:space="preserve">a entrega dos produtos 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e não atendimento da demanda.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Ações Preventivas </w:t>
            </w:r>
          </w:p>
        </w:tc>
      </w:tr>
      <w:tr w:rsidR="00091AFB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AP-03</w:t>
            </w:r>
          </w:p>
        </w:tc>
        <w:tc>
          <w:tcPr>
            <w:tcW w:w="6662" w:type="dxa"/>
            <w:gridSpan w:val="3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Aprimoramento das ações de fiscalização e de gestão;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Atenção para situações relacionadas com </w:t>
            </w:r>
            <w:r w:rsidR="00370CAA" w:rsidRPr="00091AFB">
              <w:rPr>
                <w:rFonts w:ascii="Arial" w:hAnsi="Arial" w:cs="Arial"/>
                <w:sz w:val="16"/>
                <w:szCs w:val="16"/>
              </w:rPr>
              <w:t>o cumprimento dos prazos definidos no edital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Notificação da contratada para solução da situação; </w:t>
            </w:r>
          </w:p>
          <w:p w:rsidR="00BE0BD8" w:rsidRPr="00091AFB" w:rsidRDefault="00BE0BD8" w:rsidP="00650E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50EFB" w:rsidRPr="00091AFB">
              <w:rPr>
                <w:rFonts w:ascii="Arial" w:hAnsi="Arial" w:cs="Arial"/>
                <w:sz w:val="16"/>
                <w:szCs w:val="16"/>
              </w:rPr>
              <w:t>abertura de processo administrativo punitivo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</w:tc>
        <w:tc>
          <w:tcPr>
            <w:tcW w:w="2410" w:type="dxa"/>
            <w:gridSpan w:val="2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Responsáveis: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Fiscal e gestor do contrato. </w:t>
            </w:r>
          </w:p>
        </w:tc>
      </w:tr>
      <w:tr w:rsidR="00091AFB" w:rsidRPr="00091AFB" w:rsidTr="00370CAA">
        <w:tc>
          <w:tcPr>
            <w:tcW w:w="9781" w:type="dxa"/>
            <w:gridSpan w:val="6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 xml:space="preserve">Ações de Contingência </w:t>
            </w:r>
          </w:p>
        </w:tc>
      </w:tr>
      <w:tr w:rsidR="00BE0BD8" w:rsidRPr="00091AFB" w:rsidTr="00370CAA">
        <w:tc>
          <w:tcPr>
            <w:tcW w:w="709" w:type="dxa"/>
          </w:tcPr>
          <w:p w:rsidR="00BE0BD8" w:rsidRPr="00091AFB" w:rsidRDefault="00BE0BD8" w:rsidP="00532A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AC - 3</w:t>
            </w:r>
          </w:p>
        </w:tc>
        <w:tc>
          <w:tcPr>
            <w:tcW w:w="6662" w:type="dxa"/>
            <w:gridSpan w:val="3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Rescisão contratual;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>- Suspensão do pagamento;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Aplicação de penalidades; </w:t>
            </w:r>
          </w:p>
          <w:p w:rsidR="00650EFB" w:rsidRPr="00091AFB" w:rsidRDefault="00650EFB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Devolução dos produtos defeituosos, danificados e com mal funcionamento. </w:t>
            </w:r>
          </w:p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sz w:val="16"/>
                <w:szCs w:val="16"/>
              </w:rPr>
              <w:t xml:space="preserve">- Convocação e contratação dos demais licitantes de acordo com a listagem de habilitados;  </w:t>
            </w:r>
          </w:p>
        </w:tc>
        <w:tc>
          <w:tcPr>
            <w:tcW w:w="2410" w:type="dxa"/>
            <w:gridSpan w:val="2"/>
          </w:tcPr>
          <w:p w:rsidR="00BE0BD8" w:rsidRPr="00091AFB" w:rsidRDefault="00BE0BD8" w:rsidP="00532A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AFB">
              <w:rPr>
                <w:rFonts w:ascii="Arial" w:hAnsi="Arial" w:cs="Arial"/>
                <w:b/>
                <w:sz w:val="16"/>
                <w:szCs w:val="16"/>
              </w:rPr>
              <w:t>Responsáveis:</w:t>
            </w:r>
            <w:r w:rsidRPr="00091AFB">
              <w:rPr>
                <w:rFonts w:ascii="Arial" w:hAnsi="Arial" w:cs="Arial"/>
                <w:sz w:val="16"/>
                <w:szCs w:val="16"/>
              </w:rPr>
              <w:t xml:space="preserve"> Comissão de contratação e Gestor do Contrato. </w:t>
            </w:r>
          </w:p>
        </w:tc>
      </w:tr>
    </w:tbl>
    <w:p w:rsidR="00BE0BD8" w:rsidRPr="00091AFB" w:rsidRDefault="00BE0BD8" w:rsidP="00BE0BD8">
      <w:pPr>
        <w:spacing w:line="360" w:lineRule="auto"/>
        <w:ind w:right="-709"/>
        <w:jc w:val="both"/>
        <w:rPr>
          <w:rFonts w:ascii="Arial" w:hAnsi="Arial" w:cs="Arial"/>
        </w:rPr>
      </w:pPr>
    </w:p>
    <w:p w:rsidR="00BE0BD8" w:rsidRPr="00091AFB" w:rsidRDefault="00BE0BD8" w:rsidP="00BE0BD8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>4 - ACOMPANHAMENTO DAS AÇÕES DE TRATAMENTO DE RISCOS:</w:t>
      </w:r>
      <w:r w:rsidRPr="00091AFB">
        <w:rPr>
          <w:rFonts w:ascii="Arial" w:hAnsi="Arial" w:cs="Arial"/>
          <w:sz w:val="20"/>
          <w:szCs w:val="20"/>
        </w:rPr>
        <w:t xml:space="preserve"> O acompanhamento será feito por servidor público devidamente indicado pela Secretaria </w:t>
      </w:r>
      <w:r w:rsidR="00151B5F" w:rsidRPr="00091AFB">
        <w:rPr>
          <w:rFonts w:ascii="Arial" w:hAnsi="Arial" w:cs="Arial"/>
          <w:sz w:val="20"/>
          <w:szCs w:val="20"/>
        </w:rPr>
        <w:t>Executriva do CIMERP</w:t>
      </w:r>
      <w:r w:rsidRPr="00091AFB">
        <w:rPr>
          <w:rFonts w:ascii="Arial" w:hAnsi="Arial" w:cs="Arial"/>
          <w:sz w:val="20"/>
          <w:szCs w:val="20"/>
        </w:rPr>
        <w:t xml:space="preserve">, sendo a fiscalização feita de forma constante e rotineira.  </w:t>
      </w:r>
    </w:p>
    <w:p w:rsidR="00BE0BD8" w:rsidRPr="00091AFB" w:rsidRDefault="00BE0BD8" w:rsidP="00BE0BD8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BE0BD8" w:rsidRPr="00091AFB" w:rsidRDefault="00BE0BD8" w:rsidP="00BE0BD8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b/>
          <w:sz w:val="20"/>
          <w:szCs w:val="20"/>
        </w:rPr>
        <w:t>5 - RESPONSÁVEIS / ASSINANTES</w:t>
      </w:r>
      <w:r w:rsidRPr="00091AFB">
        <w:rPr>
          <w:rFonts w:ascii="Arial" w:hAnsi="Arial" w:cs="Arial"/>
          <w:sz w:val="20"/>
          <w:szCs w:val="20"/>
        </w:rPr>
        <w:t>:</w:t>
      </w:r>
    </w:p>
    <w:p w:rsidR="00BE0BD8" w:rsidRPr="00091AFB" w:rsidRDefault="00BE0BD8" w:rsidP="00BE0BD8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BE0BD8" w:rsidRPr="00091AFB" w:rsidRDefault="00BE0BD8" w:rsidP="00BE0BD8">
      <w:pPr>
        <w:spacing w:line="360" w:lineRule="auto"/>
        <w:ind w:left="284" w:right="282"/>
        <w:jc w:val="center"/>
        <w:rPr>
          <w:rFonts w:ascii="Arial" w:hAnsi="Arial" w:cs="Arial"/>
          <w:sz w:val="20"/>
          <w:szCs w:val="20"/>
        </w:rPr>
      </w:pPr>
      <w:r w:rsidRPr="00091AFB">
        <w:rPr>
          <w:rFonts w:ascii="Arial" w:hAnsi="Arial" w:cs="Arial"/>
          <w:sz w:val="20"/>
          <w:szCs w:val="20"/>
        </w:rPr>
        <w:t xml:space="preserve">Muriaé em </w:t>
      </w:r>
      <w:r w:rsidR="00CA3B47" w:rsidRPr="00091AFB">
        <w:rPr>
          <w:rFonts w:ascii="Arial" w:hAnsi="Arial" w:cs="Arial"/>
          <w:sz w:val="20"/>
          <w:szCs w:val="20"/>
        </w:rPr>
        <w:t>13 de abril de 2026</w:t>
      </w:r>
      <w:r w:rsidRPr="00091AFB">
        <w:rPr>
          <w:rFonts w:ascii="Arial" w:hAnsi="Arial" w:cs="Arial"/>
          <w:sz w:val="20"/>
          <w:szCs w:val="20"/>
        </w:rPr>
        <w:t>.</w:t>
      </w:r>
    </w:p>
    <w:p w:rsidR="00BE0BD8" w:rsidRPr="00091AFB" w:rsidRDefault="00BE0BD8" w:rsidP="00BE0BD8">
      <w:pPr>
        <w:spacing w:line="360" w:lineRule="auto"/>
        <w:ind w:left="284" w:right="282"/>
        <w:jc w:val="center"/>
        <w:rPr>
          <w:rFonts w:ascii="Arial" w:hAnsi="Arial" w:cs="Arial"/>
          <w:sz w:val="20"/>
          <w:szCs w:val="20"/>
        </w:rPr>
      </w:pPr>
    </w:p>
    <w:p w:rsidR="00BE0BD8" w:rsidRPr="00091AFB" w:rsidRDefault="00BE0BD8" w:rsidP="00BE0BD8">
      <w:pPr>
        <w:spacing w:line="360" w:lineRule="auto"/>
        <w:ind w:left="284" w:right="282"/>
        <w:jc w:val="center"/>
        <w:rPr>
          <w:rFonts w:ascii="Arial" w:hAnsi="Arial" w:cs="Arial"/>
        </w:rPr>
      </w:pPr>
      <w:r w:rsidRPr="00091AFB">
        <w:rPr>
          <w:rFonts w:ascii="Arial" w:hAnsi="Arial" w:cs="Arial"/>
        </w:rPr>
        <w:t>______________________________________________.</w:t>
      </w:r>
    </w:p>
    <w:p w:rsidR="00C44F58" w:rsidRPr="00E44877" w:rsidRDefault="00C44F58" w:rsidP="00C44F5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44877">
        <w:rPr>
          <w:rFonts w:ascii="Arial" w:hAnsi="Arial" w:cs="Arial"/>
          <w:b/>
          <w:sz w:val="22"/>
          <w:szCs w:val="22"/>
        </w:rPr>
        <w:t>Victor Nascimento Rocha</w:t>
      </w:r>
    </w:p>
    <w:p w:rsidR="00BE0BD8" w:rsidRPr="00091AFB" w:rsidRDefault="00BE0BD8" w:rsidP="00BE0BD8">
      <w:pPr>
        <w:ind w:left="851" w:right="282"/>
        <w:jc w:val="center"/>
        <w:rPr>
          <w:rFonts w:ascii="Arial" w:hAnsi="Arial" w:cs="Arial"/>
        </w:rPr>
      </w:pPr>
    </w:p>
    <w:p w:rsidR="00BE0BD8" w:rsidRPr="00091AFB" w:rsidRDefault="00BE0BD8" w:rsidP="00BE0BD8">
      <w:pPr>
        <w:ind w:left="851"/>
        <w:jc w:val="center"/>
      </w:pPr>
    </w:p>
    <w:p w:rsidR="00370CAA" w:rsidRPr="00091AFB" w:rsidRDefault="00370CAA" w:rsidP="00BE0BD8">
      <w:pPr>
        <w:tabs>
          <w:tab w:val="left" w:pos="3451"/>
        </w:tabs>
        <w:spacing w:line="360" w:lineRule="auto"/>
        <w:jc w:val="center"/>
        <w:rPr>
          <w:rFonts w:ascii="Arial" w:hAnsi="Arial" w:cs="Arial"/>
          <w:b/>
        </w:rPr>
      </w:pPr>
    </w:p>
    <w:p w:rsidR="00370CAA" w:rsidRPr="00091AFB" w:rsidRDefault="00370CAA" w:rsidP="00BE0BD8">
      <w:pPr>
        <w:tabs>
          <w:tab w:val="left" w:pos="3451"/>
        </w:tabs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370CAA" w:rsidRPr="00091AFB" w:rsidSect="001812F4">
      <w:headerReference w:type="default" r:id="rId6"/>
      <w:footerReference w:type="default" r:id="rId7"/>
      <w:pgSz w:w="11906" w:h="16838"/>
      <w:pgMar w:top="205" w:right="707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3BF7" w:rsidRDefault="007F3BF7">
      <w:r>
        <w:separator/>
      </w:r>
    </w:p>
  </w:endnote>
  <w:endnote w:type="continuationSeparator" w:id="0">
    <w:p w:rsidR="007F3BF7" w:rsidRDefault="007F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Pr="00C43433" w:rsidRDefault="00151B5F" w:rsidP="001812F4">
    <w:pPr>
      <w:pStyle w:val="Rodap"/>
      <w:tabs>
        <w:tab w:val="clear" w:pos="8504"/>
      </w:tabs>
      <w:ind w:hanging="426"/>
      <w:jc w:val="center"/>
      <w:rPr>
        <w:b/>
        <w:sz w:val="20"/>
        <w:szCs w:val="20"/>
      </w:rPr>
    </w:pPr>
    <w:r w:rsidRPr="00C43433">
      <w:rPr>
        <w:b/>
        <w:sz w:val="20"/>
        <w:szCs w:val="20"/>
      </w:rPr>
      <w:t>Rua Edmundo Germano, nº 35, centro, Muriaé/MG, CEP: 36.880-047: procon@cimerp.mg.gov.br</w:t>
    </w:r>
  </w:p>
  <w:p w:rsidR="001812F4" w:rsidRDefault="007F3BF7" w:rsidP="001812F4">
    <w:pPr>
      <w:pStyle w:val="Cabealho"/>
      <w:tabs>
        <w:tab w:val="clear" w:pos="8504"/>
        <w:tab w:val="right" w:pos="9639"/>
      </w:tabs>
      <w:ind w:left="-1418" w:right="-426" w:firstLine="425"/>
      <w:rPr>
        <w:noProof/>
      </w:rPr>
    </w:pPr>
  </w:p>
  <w:p w:rsidR="001812F4" w:rsidRDefault="007F3B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3BF7" w:rsidRDefault="007F3BF7">
      <w:r>
        <w:separator/>
      </w:r>
    </w:p>
  </w:footnote>
  <w:footnote w:type="continuationSeparator" w:id="0">
    <w:p w:rsidR="007F3BF7" w:rsidRDefault="007F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Default="00151B5F" w:rsidP="001812F4">
    <w:pPr>
      <w:pStyle w:val="Rodap"/>
      <w:tabs>
        <w:tab w:val="clear" w:pos="8504"/>
      </w:tabs>
      <w:ind w:hanging="426"/>
      <w:rPr>
        <w:noProof/>
        <w:sz w:val="20"/>
        <w:szCs w:val="20"/>
      </w:rPr>
    </w:pPr>
    <w:r>
      <w:rPr>
        <w:b/>
      </w:rPr>
      <w:ptab w:relativeTo="margin" w:alignment="center" w:leader="none"/>
    </w:r>
    <w:r w:rsidRPr="00C43433">
      <w:rPr>
        <w:b/>
        <w:noProof/>
        <w:sz w:val="20"/>
        <w:szCs w:val="20"/>
        <w:lang w:val="pt-BR"/>
      </w:rPr>
      <w:drawing>
        <wp:inline distT="0" distB="0" distL="0" distR="0" wp14:anchorId="5BBBE437" wp14:editId="522F042C">
          <wp:extent cx="3493770" cy="723900"/>
          <wp:effectExtent l="1905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359" cy="724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3433">
      <w:rPr>
        <w:noProof/>
        <w:sz w:val="20"/>
        <w:szCs w:val="20"/>
      </w:rPr>
      <w:ptab w:relativeTo="margin" w:alignment="left" w:leader="none"/>
    </w:r>
    <w:r w:rsidRPr="00C43433">
      <w:rPr>
        <w:noProof/>
        <w:sz w:val="20"/>
        <w:szCs w:val="20"/>
      </w:rPr>
      <w:ptab w:relativeTo="margin" w:alignment="left" w:leader="none"/>
    </w:r>
  </w:p>
  <w:p w:rsidR="001812F4" w:rsidRDefault="00151B5F" w:rsidP="001812F4">
    <w:pPr>
      <w:pStyle w:val="Rodap"/>
      <w:tabs>
        <w:tab w:val="clear" w:pos="8504"/>
      </w:tabs>
      <w:ind w:hanging="426"/>
      <w:jc w:val="center"/>
      <w:rPr>
        <w:noProof/>
      </w:rPr>
    </w:pPr>
    <w:r w:rsidRPr="000137F4">
      <w:rPr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D8"/>
    <w:rsid w:val="00091AFB"/>
    <w:rsid w:val="00151B5F"/>
    <w:rsid w:val="00370CAA"/>
    <w:rsid w:val="004E17DC"/>
    <w:rsid w:val="00650EFB"/>
    <w:rsid w:val="00754981"/>
    <w:rsid w:val="007F3BF7"/>
    <w:rsid w:val="00BE0BD8"/>
    <w:rsid w:val="00C04E03"/>
    <w:rsid w:val="00C44F58"/>
    <w:rsid w:val="00CA3B47"/>
    <w:rsid w:val="00F13A35"/>
    <w:rsid w:val="00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5E7E"/>
  <w15:chartTrackingRefBased/>
  <w15:docId w15:val="{805A2016-D439-4ED0-A43D-E1A02F86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D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0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BD8"/>
    <w:rPr>
      <w:rFonts w:ascii="Times New Roman" w:eastAsia="Times New Roman" w:hAnsi="Times New Roman" w:cs="Times New Roman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E0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BD8"/>
    <w:rPr>
      <w:rFonts w:ascii="Times New Roman" w:eastAsia="Times New Roman" w:hAnsi="Times New Roman" w:cs="Times New Roman"/>
      <w:lang w:val="pt-PT" w:eastAsia="pt-BR"/>
    </w:rPr>
  </w:style>
  <w:style w:type="paragraph" w:styleId="NormalWeb">
    <w:name w:val="Normal (Web)"/>
    <w:basedOn w:val="Normal"/>
    <w:uiPriority w:val="99"/>
    <w:unhideWhenUsed/>
    <w:rsid w:val="00BE0BD8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BE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ização,List I Paragraph,SheParágrafo da Lista"/>
    <w:basedOn w:val="Normal"/>
    <w:link w:val="PargrafodaListaChar"/>
    <w:uiPriority w:val="34"/>
    <w:qFormat/>
    <w:rsid w:val="00C44F58"/>
    <w:pPr>
      <w:widowControl/>
      <w:suppressAutoHyphens/>
      <w:ind w:left="720"/>
      <w:contextualSpacing/>
    </w:pPr>
    <w:rPr>
      <w:sz w:val="24"/>
      <w:szCs w:val="24"/>
      <w:lang w:val="pt-BR" w:eastAsia="ar-SA"/>
    </w:rPr>
  </w:style>
  <w:style w:type="character" w:customStyle="1" w:styleId="PargrafodaListaChar">
    <w:name w:val="Parágrafo da Lista Char"/>
    <w:aliases w:val="Itemização Char,List I Paragraph Char,SheParágrafo da Lista Char"/>
    <w:link w:val="PargrafodaLista"/>
    <w:uiPriority w:val="34"/>
    <w:qFormat/>
    <w:locked/>
    <w:rsid w:val="00C44F5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</dc:creator>
  <cp:keywords/>
  <dc:description/>
  <cp:lastModifiedBy>Rodrigo</cp:lastModifiedBy>
  <cp:revision>5</cp:revision>
  <dcterms:created xsi:type="dcterms:W3CDTF">2026-04-23T22:13:00Z</dcterms:created>
  <dcterms:modified xsi:type="dcterms:W3CDTF">2026-04-28T13:10:00Z</dcterms:modified>
</cp:coreProperties>
</file>